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12" w:rsidRPr="006249BE" w:rsidRDefault="00934D12" w:rsidP="00934D12">
      <w:pPr>
        <w:ind w:firstLine="709"/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9 </w:t>
      </w:r>
      <w:r w:rsidRPr="006249BE">
        <w:rPr>
          <w:szCs w:val="28"/>
        </w:rPr>
        <w:t>ОТОБРАЖЕНИЕ НА КАРТЕ ПОСЛЕДСТВИЙ ЧС С ПОМОЩЬЮ ГЕО-ВЕБ СЕРВИСОВ</w:t>
      </w:r>
    </w:p>
    <w:p w:rsidR="00934D12" w:rsidRPr="00082337" w:rsidRDefault="00934D12" w:rsidP="00934D12">
      <w:pPr>
        <w:shd w:val="clear" w:color="auto" w:fill="FFFFFF"/>
        <w:ind w:firstLine="709"/>
        <w:jc w:val="center"/>
        <w:rPr>
          <w:b/>
          <w:szCs w:val="28"/>
        </w:rPr>
      </w:pP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Крупные ЧС случаются достаточно редко, а планировать действия аварийно-спасательных формирований и населения (а также практически отрабатывать эти действия) необходимо регулярно, то альтернативы моделированию развития ЧС на конкретной территории нет. Точный расчет зоны воздействия ЧС на население и территорию, отображение результатов этого расчета на карте местности позволяют определить:</w:t>
      </w:r>
    </w:p>
    <w:p w:rsidR="00934D12" w:rsidRPr="00082337" w:rsidRDefault="00934D12" w:rsidP="00934D12">
      <w:pPr>
        <w:numPr>
          <w:ilvl w:val="0"/>
          <w:numId w:val="5"/>
        </w:numPr>
        <w:shd w:val="clear" w:color="auto" w:fill="FFFFFF"/>
        <w:ind w:left="0" w:firstLine="709"/>
        <w:jc w:val="both"/>
        <w:rPr>
          <w:szCs w:val="28"/>
        </w:rPr>
      </w:pPr>
      <w:r w:rsidRPr="00082337">
        <w:rPr>
          <w:szCs w:val="28"/>
        </w:rPr>
        <w:t>перечень объектов и число людей, попавших в зону поражения;</w:t>
      </w:r>
    </w:p>
    <w:p w:rsidR="00934D12" w:rsidRPr="00082337" w:rsidRDefault="00934D12" w:rsidP="00934D12">
      <w:pPr>
        <w:numPr>
          <w:ilvl w:val="0"/>
          <w:numId w:val="5"/>
        </w:numPr>
        <w:shd w:val="clear" w:color="auto" w:fill="FFFFFF"/>
        <w:ind w:left="0" w:firstLine="709"/>
        <w:jc w:val="both"/>
        <w:rPr>
          <w:szCs w:val="28"/>
        </w:rPr>
      </w:pPr>
      <w:r w:rsidRPr="00082337">
        <w:rPr>
          <w:szCs w:val="28"/>
        </w:rPr>
        <w:t>материальный ущерб;</w:t>
      </w:r>
    </w:p>
    <w:p w:rsidR="00934D12" w:rsidRPr="00082337" w:rsidRDefault="00934D12" w:rsidP="00934D12">
      <w:pPr>
        <w:numPr>
          <w:ilvl w:val="0"/>
          <w:numId w:val="5"/>
        </w:numPr>
        <w:shd w:val="clear" w:color="auto" w:fill="FFFFFF"/>
        <w:ind w:left="0" w:firstLine="709"/>
        <w:jc w:val="both"/>
        <w:rPr>
          <w:szCs w:val="28"/>
        </w:rPr>
      </w:pPr>
      <w:r w:rsidRPr="00082337">
        <w:rPr>
          <w:szCs w:val="28"/>
        </w:rPr>
        <w:t>количество сил и средств, необходимых для ликвидации ЧС;</w:t>
      </w:r>
    </w:p>
    <w:p w:rsidR="00934D12" w:rsidRPr="00082337" w:rsidRDefault="00934D12" w:rsidP="00934D12">
      <w:pPr>
        <w:numPr>
          <w:ilvl w:val="0"/>
          <w:numId w:val="5"/>
        </w:numPr>
        <w:shd w:val="clear" w:color="auto" w:fill="FFFFFF"/>
        <w:ind w:left="0" w:firstLine="709"/>
        <w:jc w:val="both"/>
        <w:rPr>
          <w:szCs w:val="28"/>
        </w:rPr>
      </w:pPr>
      <w:r w:rsidRPr="00082337">
        <w:rPr>
          <w:szCs w:val="28"/>
        </w:rPr>
        <w:t>оптимальные маршруты эвакуации людей из зоны ЧС и доставки аварийно-спасательных формирований в эту зону, и ряд других.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Наличие качественной базы данных о потенциальных опасностях и всей территории, попадающей в зону возможной ЧС, позволяет оперативно, практически в темпе развития самой ЧС, обеспечивать органы управления ликвидацией ЧС полной и достоверной информацией. На рисунке 9.1 представлен результат моделирования последствий взрыва 120 тонн аммиака на комбинате с определением объектов, попавших в зону заражения. На рисунке 9.2 представлена модель взрыва 10 тонн бензина при транспортировке бензовозом в спальном районе города и отображены зоны разрушения зданий.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</w:p>
    <w:p w:rsidR="00934D12" w:rsidRDefault="00934D12" w:rsidP="00934D12">
      <w:pPr>
        <w:shd w:val="clear" w:color="auto" w:fill="FFFFFF"/>
        <w:jc w:val="center"/>
        <w:rPr>
          <w:bCs/>
          <w:szCs w:val="28"/>
          <w:lang w:val="kk-KZ"/>
        </w:rPr>
      </w:pPr>
      <w:r w:rsidRPr="00082337">
        <w:rPr>
          <w:b/>
          <w:bCs/>
          <w:noProof/>
          <w:szCs w:val="28"/>
        </w:rPr>
        <w:drawing>
          <wp:inline distT="0" distB="0" distL="0" distR="0">
            <wp:extent cx="2344140" cy="2329676"/>
            <wp:effectExtent l="19050" t="0" r="0" b="0"/>
            <wp:docPr id="12" name="Рисунок 1" descr="http://dataplus.ru/news/arcreview/Images/Number_26/15_2Sm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taplus.ru/news/arcreview/Images/Number_26/15_2Sm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838" cy="2333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2337">
        <w:rPr>
          <w:b/>
          <w:bCs/>
          <w:szCs w:val="28"/>
        </w:rPr>
        <w:br/>
      </w:r>
    </w:p>
    <w:p w:rsidR="00934D12" w:rsidRPr="008E0348" w:rsidRDefault="00934D12" w:rsidP="00934D12">
      <w:pPr>
        <w:shd w:val="clear" w:color="auto" w:fill="FFFFFF"/>
        <w:jc w:val="center"/>
        <w:rPr>
          <w:szCs w:val="28"/>
          <w:lang w:val="kk-KZ"/>
        </w:rPr>
      </w:pPr>
      <w:r w:rsidRPr="00082337">
        <w:rPr>
          <w:bCs/>
          <w:szCs w:val="28"/>
        </w:rPr>
        <w:t>Рисунок 9.1</w:t>
      </w:r>
      <w:r>
        <w:rPr>
          <w:bCs/>
          <w:szCs w:val="28"/>
          <w:lang w:val="kk-KZ"/>
        </w:rPr>
        <w:t>-</w:t>
      </w:r>
      <w:r w:rsidRPr="00082337">
        <w:rPr>
          <w:szCs w:val="28"/>
        </w:rPr>
        <w:t> Модель вы</w:t>
      </w:r>
      <w:r>
        <w:rPr>
          <w:szCs w:val="28"/>
        </w:rPr>
        <w:t>броса аммиака (тестовые данные)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</w:p>
    <w:p w:rsidR="00934D12" w:rsidRDefault="00934D12" w:rsidP="00934D12">
      <w:pPr>
        <w:shd w:val="clear" w:color="auto" w:fill="FFFFFF"/>
        <w:jc w:val="center"/>
        <w:rPr>
          <w:bCs/>
          <w:szCs w:val="28"/>
          <w:lang w:val="kk-KZ"/>
        </w:rPr>
      </w:pPr>
      <w:r w:rsidRPr="00082337">
        <w:rPr>
          <w:b/>
          <w:bCs/>
          <w:noProof/>
          <w:szCs w:val="28"/>
        </w:rPr>
        <w:lastRenderedPageBreak/>
        <w:drawing>
          <wp:inline distT="0" distB="0" distL="0" distR="0">
            <wp:extent cx="2439142" cy="2546420"/>
            <wp:effectExtent l="19050" t="0" r="0" b="0"/>
            <wp:docPr id="13" name="Рисунок 2" descr="http://dataplus.ru/news/arcreview/Images/Number_26/15_3Sm.jpg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ataplus.ru/news/arcreview/Images/Number_26/15_3Sm.jp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125" cy="254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2337">
        <w:rPr>
          <w:b/>
          <w:bCs/>
          <w:szCs w:val="28"/>
        </w:rPr>
        <w:br/>
      </w:r>
    </w:p>
    <w:p w:rsidR="00934D12" w:rsidRPr="008E0348" w:rsidRDefault="00934D12" w:rsidP="00934D12">
      <w:pPr>
        <w:shd w:val="clear" w:color="auto" w:fill="FFFFFF"/>
        <w:jc w:val="center"/>
        <w:rPr>
          <w:szCs w:val="28"/>
          <w:lang w:val="kk-KZ"/>
        </w:rPr>
      </w:pPr>
      <w:r w:rsidRPr="00082337">
        <w:rPr>
          <w:bCs/>
          <w:szCs w:val="28"/>
        </w:rPr>
        <w:t>Рисунок 9.2</w:t>
      </w:r>
      <w:r>
        <w:rPr>
          <w:bCs/>
          <w:szCs w:val="28"/>
          <w:lang w:val="kk-KZ"/>
        </w:rPr>
        <w:t>-</w:t>
      </w:r>
      <w:r w:rsidRPr="00082337">
        <w:rPr>
          <w:szCs w:val="28"/>
        </w:rPr>
        <w:t> Модель в</w:t>
      </w:r>
      <w:r>
        <w:rPr>
          <w:szCs w:val="28"/>
        </w:rPr>
        <w:t>зрыва бензина (тестовые данные)</w:t>
      </w:r>
    </w:p>
    <w:p w:rsidR="00934D12" w:rsidRPr="004B2171" w:rsidRDefault="00934D12" w:rsidP="00934D12">
      <w:pPr>
        <w:shd w:val="clear" w:color="auto" w:fill="FFFFFF"/>
        <w:ind w:firstLine="709"/>
        <w:jc w:val="both"/>
        <w:rPr>
          <w:szCs w:val="28"/>
          <w:lang w:val="kk-KZ"/>
        </w:rPr>
      </w:pPr>
    </w:p>
    <w:p w:rsidR="00934D12" w:rsidRDefault="00934D12" w:rsidP="00934D12">
      <w:pPr>
        <w:shd w:val="clear" w:color="auto" w:fill="FFFFFF"/>
        <w:ind w:firstLine="709"/>
        <w:jc w:val="both"/>
        <w:rPr>
          <w:szCs w:val="28"/>
          <w:lang w:val="kk-KZ"/>
        </w:rPr>
      </w:pPr>
      <w:r w:rsidRPr="00082337">
        <w:rPr>
          <w:szCs w:val="28"/>
        </w:rPr>
        <w:t>Подобные результаты получаются и при моделировании других видов ЧС. Важной особенностью применения ГИС-технологий является возможность отображения на карте территории зон поражения от всех возможных ЧС, что является основой для расчета различных рисков: как для людей, так и для территорий. На рисунке 9.3 приведена карта зонирования территории по всему комплексу природных и техногенных опасностей, возможных на ее территории.</w:t>
      </w:r>
    </w:p>
    <w:p w:rsidR="00934D12" w:rsidRPr="006249BE" w:rsidRDefault="00934D12" w:rsidP="00934D12">
      <w:pPr>
        <w:shd w:val="clear" w:color="auto" w:fill="FFFFFF"/>
        <w:ind w:firstLine="709"/>
        <w:jc w:val="both"/>
        <w:rPr>
          <w:szCs w:val="28"/>
          <w:lang w:val="kk-KZ"/>
        </w:rPr>
      </w:pPr>
    </w:p>
    <w:p w:rsidR="00934D12" w:rsidRDefault="00934D12" w:rsidP="00934D12">
      <w:pPr>
        <w:shd w:val="clear" w:color="auto" w:fill="FFFFFF"/>
        <w:jc w:val="center"/>
        <w:rPr>
          <w:bCs/>
          <w:szCs w:val="28"/>
          <w:lang w:val="kk-KZ"/>
        </w:rPr>
      </w:pPr>
      <w:r w:rsidRPr="00082337">
        <w:rPr>
          <w:b/>
          <w:bCs/>
          <w:noProof/>
          <w:szCs w:val="28"/>
        </w:rPr>
        <w:drawing>
          <wp:inline distT="0" distB="0" distL="0" distR="0">
            <wp:extent cx="2356015" cy="3231638"/>
            <wp:effectExtent l="19050" t="0" r="6185" b="0"/>
            <wp:docPr id="16" name="Рисунок 3" descr="http://dataplus.ru/news/arcreview/Images/Number_26/15_4Sm.jp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ataplus.ru/news/arcreview/Images/Number_26/15_4Sm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042" cy="3233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2337">
        <w:rPr>
          <w:b/>
          <w:bCs/>
          <w:szCs w:val="28"/>
        </w:rPr>
        <w:br/>
      </w:r>
    </w:p>
    <w:p w:rsidR="00934D12" w:rsidRPr="008E0348" w:rsidRDefault="00934D12" w:rsidP="00934D12">
      <w:pPr>
        <w:shd w:val="clear" w:color="auto" w:fill="FFFFFF"/>
        <w:jc w:val="center"/>
        <w:rPr>
          <w:szCs w:val="28"/>
          <w:lang w:val="kk-KZ"/>
        </w:rPr>
      </w:pPr>
      <w:r w:rsidRPr="00082337">
        <w:rPr>
          <w:bCs/>
          <w:szCs w:val="28"/>
        </w:rPr>
        <w:t>Рисунок 9.3</w:t>
      </w:r>
      <w:r>
        <w:rPr>
          <w:bCs/>
          <w:szCs w:val="28"/>
          <w:lang w:val="kk-KZ"/>
        </w:rPr>
        <w:t>-</w:t>
      </w:r>
      <w:r w:rsidRPr="00082337">
        <w:rPr>
          <w:szCs w:val="28"/>
        </w:rPr>
        <w:t> Районирование по комплексному пок</w:t>
      </w:r>
      <w:r>
        <w:rPr>
          <w:szCs w:val="28"/>
        </w:rPr>
        <w:t>азателю рисков возникновения ЧС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Необходимо отметить два важных обстоятельства.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lastRenderedPageBreak/>
        <w:t>Первое. ГИС-технология, как основа автоматизации информационной поддержки деятельности органов исполнительной власти по предупреждению и ликвидации последствий ЧС, позволяет решать как текущие, так и вновь возникающие функциональные задачи без изменения структуры всей системы, без приобретения дополнительных программных средств и без переподготовки специалистов.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Второе. Схема интеграции разнородных данных и функциональных задач с успехом может быть применена в крупных городах и на крупных предприятиях. При этом структура системы и используемое программное обеспечение могут оставаться такими же, как и в территориальных органах МЧС, а содержимое баз данных, в том числе масштаб электронных карт, и перечень задач будут отличаться. При этом, чем большее число функциональных задач будет решаться на основе ГИС-технологий, тем быстрее окупятся средства, вложенные в создание интегрированной геоинформационной системы.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Например, при разработке планов по предупреждению и ликвидации аварийных разливов нефти и нефтепродуктов (ПЛАРН) никак не обойтись без цифрового векторного генплана предприятия и трёхмерной модели рельефа окрестностей предприятия с размещенными на ней объектами экономики и жизнедеятельности населения (рисунок 9.4). Опыт моделирования (прогнозирования) аварийных разливов нефти и нефтепродуктов описан в отдельной статье в этом номере ArcReview.</w:t>
      </w:r>
    </w:p>
    <w:p w:rsidR="00934D12" w:rsidRPr="00082337" w:rsidRDefault="00934D12" w:rsidP="00934D12">
      <w:pPr>
        <w:shd w:val="clear" w:color="auto" w:fill="FFFFFF"/>
        <w:ind w:firstLine="709"/>
        <w:jc w:val="both"/>
        <w:rPr>
          <w:szCs w:val="28"/>
        </w:rPr>
      </w:pPr>
    </w:p>
    <w:p w:rsidR="00934D12" w:rsidRPr="00082337" w:rsidRDefault="00934D12" w:rsidP="00934D12">
      <w:pPr>
        <w:shd w:val="clear" w:color="auto" w:fill="FFFFFF"/>
        <w:jc w:val="center"/>
        <w:rPr>
          <w:szCs w:val="28"/>
        </w:rPr>
      </w:pPr>
      <w:r w:rsidRPr="00082337">
        <w:rPr>
          <w:b/>
          <w:bCs/>
          <w:noProof/>
          <w:szCs w:val="28"/>
        </w:rPr>
        <w:drawing>
          <wp:inline distT="0" distB="0" distL="0" distR="0">
            <wp:extent cx="2973532" cy="2109254"/>
            <wp:effectExtent l="19050" t="0" r="0" b="0"/>
            <wp:docPr id="21" name="Рисунок 8" descr="http://dataplus.ru/news/arcreview/Images/Number_26/15_9Sm.jpg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ataplus.ru/news/arcreview/Images/Number_26/15_9Sm.jpg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704" cy="2096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2337">
        <w:rPr>
          <w:szCs w:val="28"/>
        </w:rPr>
        <w:br/>
      </w:r>
      <w:r w:rsidRPr="00082337">
        <w:rPr>
          <w:bCs/>
          <w:szCs w:val="28"/>
        </w:rPr>
        <w:t>Рисунок 9.4</w:t>
      </w:r>
      <w:r>
        <w:rPr>
          <w:bCs/>
          <w:szCs w:val="28"/>
          <w:lang w:val="kk-KZ"/>
        </w:rPr>
        <w:t>-</w:t>
      </w:r>
      <w:r w:rsidRPr="00082337">
        <w:rPr>
          <w:szCs w:val="28"/>
        </w:rPr>
        <w:t> Моделирование аварийного разлива нефти.</w:t>
      </w:r>
    </w:p>
    <w:p w:rsidR="00934D12" w:rsidRPr="00082337" w:rsidRDefault="00934D12" w:rsidP="00934D12">
      <w:pPr>
        <w:shd w:val="clear" w:color="auto" w:fill="FFFFFF"/>
        <w:ind w:firstLine="709"/>
        <w:jc w:val="center"/>
        <w:rPr>
          <w:szCs w:val="28"/>
        </w:rPr>
      </w:pPr>
    </w:p>
    <w:p w:rsidR="00934D12" w:rsidRPr="00082337" w:rsidRDefault="00934D12" w:rsidP="00934D12">
      <w:pPr>
        <w:jc w:val="center"/>
        <w:rPr>
          <w:rFonts w:eastAsia="Calibri"/>
          <w:b/>
          <w:kern w:val="2"/>
          <w:szCs w:val="28"/>
        </w:rPr>
      </w:pPr>
      <w:r w:rsidRPr="00082337">
        <w:rPr>
          <w:rFonts w:eastAsia="Calibri"/>
          <w:b/>
          <w:kern w:val="2"/>
          <w:szCs w:val="28"/>
        </w:rPr>
        <w:t>9.1 Картографирование последствий ЧС</w:t>
      </w:r>
    </w:p>
    <w:p w:rsidR="00934D12" w:rsidRDefault="00934D12" w:rsidP="00934D12">
      <w:pPr>
        <w:ind w:firstLine="709"/>
        <w:jc w:val="both"/>
        <w:rPr>
          <w:rFonts w:eastAsia="Calibri"/>
          <w:kern w:val="2"/>
          <w:szCs w:val="28"/>
          <w:lang w:val="kk-KZ"/>
        </w:rPr>
      </w:pP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Карта обстановки, отображающей ЧС, должна отвечать требованиям наглядности, полноты ( достоверности ).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Зоны ЧС наносятся на карту с четким выделением границ, не затемняя топографическую основу карты.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Размеры зон и радиусов воздействия поражающих факторов источников ЧС определяются расчетно - графическим методом с учетом </w:t>
      </w:r>
      <w:r w:rsidRPr="00082337">
        <w:rPr>
          <w:rFonts w:eastAsia="Calibri"/>
          <w:kern w:val="2"/>
          <w:szCs w:val="28"/>
        </w:rPr>
        <w:lastRenderedPageBreak/>
        <w:t>метеорологических условий, времени года и характера местности согласно методик.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Карты зон ЧС разрабатываются двух видов: </w:t>
      </w:r>
    </w:p>
    <w:p w:rsidR="00934D12" w:rsidRPr="00082337" w:rsidRDefault="00934D12" w:rsidP="00934D12">
      <w:pPr>
        <w:numPr>
          <w:ilvl w:val="0"/>
          <w:numId w:val="1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прогнозные, составляемые на основе сбора информации о потенциально опасных объектах - возможных источниках ЧС;</w:t>
      </w:r>
    </w:p>
    <w:p w:rsidR="00934D12" w:rsidRPr="00082337" w:rsidRDefault="00934D12" w:rsidP="00934D12">
      <w:pPr>
        <w:numPr>
          <w:ilvl w:val="0"/>
          <w:numId w:val="1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оперативные, отображающие обстановку при угрозе или возникновении ЧС и отражающие динамику развития обстановки в зоне ЧС.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Прогнозные и оперативные карты разрабатываются в рабочих органах комиссий по ЧС.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Обстановка на карте наносится установленными условными обозначениями и знаками.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Условные обозначения и знаки подразделяются на масштабные и внемасштабные.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 К масштабным обозначениям относят зоны ЧС (заражения, затопления, пожаров, загрязнения), а также линейные замкнутые и полузамкнутые знаки.</w:t>
      </w:r>
    </w:p>
    <w:p w:rsidR="00934D12" w:rsidRPr="00082337" w:rsidRDefault="00934D12" w:rsidP="00934D12">
      <w:pPr>
        <w:ind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К внемасштабным обозначениям относят объекты (АЭС, ХОО, заводы, ГЭС и др.), а также условные знаки, состоящие из сочетания линий и фигур, представляющих собой точечные объекты.</w:t>
      </w:r>
    </w:p>
    <w:p w:rsidR="00934D12" w:rsidRPr="00082337" w:rsidRDefault="00934D12" w:rsidP="00934D12">
      <w:pPr>
        <w:ind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Отображаемая информация на карте должна содержать следующие исходные данные: 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основные опасные объекты - потенциальные источники ЧС;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зоны вероятного заражения или загрязнения вокруг потенциально опасных объектов;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гидроузлы, зоны возможного затопления;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пожароопасные районы;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магистральные трубопроводы ( нефте-, газо-, аммиако-, продуктопроводы );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численность населения в зонах риска и зонах вероятного действия поражающих факторов от источников техногенных и природных ЧС;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возможные эпидемические и эпизоотические очаги;</w:t>
      </w:r>
    </w:p>
    <w:p w:rsidR="00934D12" w:rsidRPr="00082337" w:rsidRDefault="00934D12" w:rsidP="00934D12">
      <w:pPr>
        <w:numPr>
          <w:ilvl w:val="0"/>
          <w:numId w:val="2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сейсмоопасные области, районы возможных селевых потоков и оползней, снежных лавин и камнепадов, ураганов, песчаных бурь и смерчей, ливней и шквалов.</w:t>
      </w:r>
    </w:p>
    <w:p w:rsidR="00934D12" w:rsidRPr="00082337" w:rsidRDefault="00934D12" w:rsidP="00934D12">
      <w:pPr>
        <w:ind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При оформлении карты необходимо соблюдать следующее: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данные обстановки наносят тонкими линиями и установленными условными знаками, не затемняя топографическую основу карты (плана) и надписей на ней;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органы управления наносят на карту так, чтобы вертикальная линия условного знака (флажка) у основания упиралось в точку его фактического нахождения на местности;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при движении или действиях в западном направлении фигура знака командного пункта (пункта управления) располагается вправо от вертикальной линии, указывающей место его расположения;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lastRenderedPageBreak/>
        <w:t>при движении или действиях в восточном направлении фигура знака командного пункта (пункта управления) располагается влево от вертикальной линии, указывающей место его расположения;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при движении или действиях в северном или южном  направлении фигура знака командного пункта (пункта управления) располагается вправо от вертикальной линии, указывающей место его расположения;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положение, задачи и действия своих механизированных, аварийно – спасательных, медицинских, пожарных, разведывательных подразделений, подразделений обеспечения и обслуживания обозначаются на карте соответствующими знаками красным цветом;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положение, задачи и действия своих инженерно – технических, понтонно – переправочных, пиротехнических подразделений, подразделений радиационной, химической и биологической защиты, подразделений связи обозначаются на карте соответствующими знаками черным цветом.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данные о расположении и действиях своих войск и сил наносятся на карту с детализацией на две ступени ниже;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нумерация и наименование подразделений и пояснительные надписи, относящиеся к своим войскам и силам, обозначаются черным цветом; 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все данные о противнике наносятся на карту синим цветом;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для облегчения чтения обстановки производится подъем карты. Карта поднимается с применением условных сокращений, обозначений и картографических знаков;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для подъема древесной и кустарниковой растительности применяется зеленый цвет. Границы лесных массивов обводятся жирной линией, а площадь внутри заштриховывается карандашом, при этом вырубки, просеки, поляны не заштриховываются; 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для подъема гидрографии и болот применяется синий цвет; реки, ручьи и каналы, изображенные на карте двумя линиями, поднимаются путем легкой подтушевки карандашом, реки и ручьи, изображенные одной линией, оттеняются синим карандашом путем утолщения условного знака реки; озера, пруды, заливы, морское побережье оттеняются между контурными линиями; на реках поднимаются мосты, броды, переправы и гидротехнические сооружения, имеющие важное значение для выполнения поставленной задачи; мосты, броды, переправы поднимаются путем увеличения основного условного знака черным цветом с указанием их характеристик; болота покрывают вторичной горизонтальной штриховкой;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для подъема рельефа местности применяется светло - коричневый цвет; поднимают все элементы рельефа, которые могут служить препятствием для действий войск и сил; также поднимаются элементы местности, которые могут служить укрытием для защиты от современных средств поражения; 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 xml:space="preserve">для подъема дорожной сети (кроме железных дорог) применяется коричневый цвет; дороги, необходимые для действий войск и сил </w:t>
      </w:r>
      <w:r w:rsidRPr="00082337">
        <w:rPr>
          <w:rFonts w:eastAsia="Calibri"/>
          <w:kern w:val="2"/>
          <w:szCs w:val="28"/>
        </w:rPr>
        <w:lastRenderedPageBreak/>
        <w:t>поднимаются рядом с условным знаком, а не на самом знаке южнее или восточнее дороги на удалении не более 3 мм; в пределах населенных пунктов дороги не поднимаются; железные дороги поднимаются увеличением их условного знака;</w:t>
      </w:r>
    </w:p>
    <w:p w:rsidR="00934D12" w:rsidRPr="00082337" w:rsidRDefault="00934D12" w:rsidP="00934D12">
      <w:pPr>
        <w:numPr>
          <w:ilvl w:val="0"/>
          <w:numId w:val="3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надписи названий населенных пунктов подчеркиваются или увеличиваются.</w:t>
      </w:r>
    </w:p>
    <w:p w:rsidR="00934D12" w:rsidRPr="00082337" w:rsidRDefault="00934D12" w:rsidP="00934D12">
      <w:pPr>
        <w:ind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При отображении динамики развития событий необходимо соблюдать последовательность нанесения элементов на карте, которая зависит от характера ЧС, специфики и объема аварийно - спасательных работ.</w:t>
      </w:r>
    </w:p>
    <w:p w:rsidR="00934D12" w:rsidRPr="00082337" w:rsidRDefault="00934D12" w:rsidP="00934D12">
      <w:pPr>
        <w:ind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Последовательность отображения динамики развития ситуации:</w:t>
      </w:r>
    </w:p>
    <w:p w:rsidR="00934D12" w:rsidRPr="00082337" w:rsidRDefault="00934D12" w:rsidP="00934D12">
      <w:pPr>
        <w:numPr>
          <w:ilvl w:val="0"/>
          <w:numId w:val="4"/>
        </w:numPr>
        <w:ind w:left="0" w:firstLine="709"/>
        <w:jc w:val="both"/>
        <w:rPr>
          <w:rFonts w:eastAsia="Calibri"/>
          <w:kern w:val="2"/>
          <w:szCs w:val="28"/>
        </w:rPr>
      </w:pPr>
      <w:r w:rsidRPr="00082337">
        <w:rPr>
          <w:rFonts w:eastAsia="Calibri"/>
          <w:kern w:val="2"/>
          <w:szCs w:val="28"/>
        </w:rPr>
        <w:t>сведения, характеризующие источники ЧС;</w:t>
      </w:r>
    </w:p>
    <w:p w:rsidR="00934D12" w:rsidRPr="00082337" w:rsidRDefault="00934D12" w:rsidP="00934D12">
      <w:pPr>
        <w:numPr>
          <w:ilvl w:val="0"/>
          <w:numId w:val="4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возможные параметры воздействия поражающих факторов</w:t>
      </w:r>
      <w:r w:rsidRPr="00082337">
        <w:rPr>
          <w:rFonts w:eastAsia="Calibri"/>
          <w:b/>
          <w:kern w:val="2"/>
          <w:szCs w:val="28"/>
        </w:rPr>
        <w:t>;</w:t>
      </w:r>
    </w:p>
    <w:p w:rsidR="00934D12" w:rsidRPr="00082337" w:rsidRDefault="00934D12" w:rsidP="00934D12">
      <w:pPr>
        <w:numPr>
          <w:ilvl w:val="0"/>
          <w:numId w:val="4"/>
        </w:numPr>
        <w:ind w:left="0" w:firstLine="709"/>
        <w:jc w:val="both"/>
        <w:rPr>
          <w:rFonts w:eastAsia="Calibri"/>
          <w:b/>
          <w:kern w:val="2"/>
          <w:szCs w:val="28"/>
        </w:rPr>
      </w:pPr>
      <w:r w:rsidRPr="00082337">
        <w:rPr>
          <w:rFonts w:eastAsia="Calibri"/>
          <w:kern w:val="2"/>
          <w:szCs w:val="28"/>
        </w:rPr>
        <w:t>места дислокации сил и средств, привлекаемых для ликвидации ЧС, мар-шруты выдвижения соединений, воинских частей и подразделений войск ГО, отрядов ликвидации последствий ЧС Министерства обороны, специализированных отрядов  внутренних войск МВД, отрядов и групп специалистов спасательных формирований сил и средств РСЧС, предназначенных для проведения аварийно-спасательных, аварийно - восстановительных и других неотложных работ в зонах ЧС и очагах поражения.</w:t>
      </w:r>
    </w:p>
    <w:p w:rsidR="00934D12" w:rsidRPr="00082337" w:rsidRDefault="00934D12" w:rsidP="00934D12">
      <w:pPr>
        <w:ind w:firstLine="709"/>
        <w:jc w:val="both"/>
        <w:rPr>
          <w:szCs w:val="28"/>
        </w:rPr>
      </w:pPr>
    </w:p>
    <w:p w:rsidR="00934D12" w:rsidRDefault="00934D12" w:rsidP="00934D12">
      <w:pPr>
        <w:ind w:firstLine="709"/>
        <w:jc w:val="center"/>
        <w:rPr>
          <w:b/>
          <w:szCs w:val="28"/>
          <w:lang w:val="kk-KZ"/>
        </w:rPr>
      </w:pPr>
    </w:p>
    <w:p w:rsidR="00BC14A0" w:rsidRPr="00934D12" w:rsidRDefault="00BC14A0">
      <w:pPr>
        <w:rPr>
          <w:lang w:val="kk-KZ"/>
        </w:rPr>
      </w:pPr>
    </w:p>
    <w:sectPr w:rsidR="00BC14A0" w:rsidRPr="00934D12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120A7"/>
    <w:multiLevelType w:val="hybridMultilevel"/>
    <w:tmpl w:val="AE36EDD6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1E4109"/>
    <w:multiLevelType w:val="hybridMultilevel"/>
    <w:tmpl w:val="5BAC4352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E7E00E9"/>
    <w:multiLevelType w:val="multilevel"/>
    <w:tmpl w:val="2AD8FBF6"/>
    <w:lvl w:ilvl="0">
      <w:start w:val="655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3C0FF1"/>
    <w:multiLevelType w:val="hybridMultilevel"/>
    <w:tmpl w:val="70C0035A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D02F2D"/>
    <w:multiLevelType w:val="hybridMultilevel"/>
    <w:tmpl w:val="0C881754"/>
    <w:lvl w:ilvl="0" w:tplc="DEE0E3B4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34D12"/>
    <w:rsid w:val="00000D30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34D12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D12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D1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D1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ataplus.ru/news/arcreview/Images/Number_26/15_3.jpg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dataplus.ru/news/arcreview/Images/Number_26/15_9.jpg" TargetMode="External"/><Relationship Id="rId5" Type="http://schemas.openxmlformats.org/officeDocument/2006/relationships/hyperlink" Target="http://dataplus.ru/news/arcreview/Images/Number_26/15_2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dataplus.ru/news/arcreview/Images/Number_26/15_4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1426</Words>
  <Characters>8134</Characters>
  <Application>Microsoft Office Word</Application>
  <DocSecurity>0</DocSecurity>
  <Lines>67</Lines>
  <Paragraphs>19</Paragraphs>
  <ScaleCrop>false</ScaleCrop>
  <Company>EKTU</Company>
  <LinksUpToDate>false</LinksUpToDate>
  <CharactersWithSpaces>9541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2016-10-10T08:23:00Z</dcterms:created>
  <dcterms:modified xsi:type="dcterms:W3CDTF">2016-10-10T08:23:00Z</dcterms:modified>
</cp:coreProperties>
</file>